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lang w:eastAsia="zh-CN"/>
        </w:rPr>
      </w:pPr>
      <w:r>
        <w:rPr>
          <w:rFonts w:hint="eastAsia"/>
          <w:sz w:val="30"/>
          <w:szCs w:val="30"/>
          <w:lang w:eastAsia="zh-CN"/>
        </w:rPr>
        <w:t>附件</w:t>
      </w:r>
      <w:r>
        <w:rPr>
          <w:rFonts w:hint="eastAsia"/>
          <w:sz w:val="30"/>
          <w:szCs w:val="30"/>
          <w:lang w:val="en-US" w:eastAsia="zh-CN"/>
        </w:rPr>
        <w:t>1：</w:t>
      </w:r>
    </w:p>
    <w:p>
      <w:pPr>
        <w:pStyle w:val="3"/>
        <w:tabs>
          <w:tab w:val="left" w:pos="3193"/>
        </w:tabs>
        <w:ind w:firstLine="0" w:firstLineChars="0"/>
        <w:jc w:val="center"/>
        <w:rPr>
          <w:rFonts w:hint="eastAsia" w:ascii="仿宋" w:hAnsi="仿宋" w:eastAsia="仿宋"/>
          <w:b/>
          <w:bCs/>
          <w:sz w:val="44"/>
          <w:szCs w:val="44"/>
          <w:lang w:eastAsia="zh-CN"/>
        </w:rPr>
      </w:pPr>
      <w:r>
        <w:rPr>
          <w:rFonts w:hint="eastAsia" w:ascii="仿宋" w:hAnsi="仿宋" w:eastAsia="仿宋"/>
          <w:b/>
          <w:bCs/>
          <w:sz w:val="44"/>
          <w:szCs w:val="44"/>
          <w:lang w:eastAsia="zh-CN"/>
        </w:rPr>
        <w:t>安徽农垦集团招标代理机构备选库增补</w:t>
      </w:r>
    </w:p>
    <w:p>
      <w:pPr>
        <w:pStyle w:val="3"/>
        <w:tabs>
          <w:tab w:val="left" w:pos="3193"/>
        </w:tabs>
        <w:ind w:firstLine="0" w:firstLineChars="0"/>
        <w:jc w:val="center"/>
        <w:rPr>
          <w:rFonts w:ascii="仿宋" w:hAnsi="仿宋" w:eastAsia="仿宋"/>
          <w:b/>
          <w:bCs/>
          <w:sz w:val="44"/>
          <w:szCs w:val="44"/>
          <w:lang w:eastAsia="zh-CN"/>
        </w:rPr>
      </w:pPr>
      <w:r>
        <w:rPr>
          <w:rFonts w:hint="eastAsia" w:ascii="仿宋" w:hAnsi="仿宋" w:eastAsia="仿宋"/>
          <w:b/>
          <w:bCs/>
          <w:sz w:val="44"/>
          <w:szCs w:val="44"/>
          <w:lang w:eastAsia="zh-CN"/>
        </w:rPr>
        <w:t>报名申请表</w:t>
      </w:r>
    </w:p>
    <w:p>
      <w:pPr>
        <w:pStyle w:val="3"/>
        <w:tabs>
          <w:tab w:val="left" w:pos="3193"/>
        </w:tabs>
        <w:ind w:firstLine="0" w:firstLineChars="0"/>
        <w:jc w:val="center"/>
        <w:rPr>
          <w:rFonts w:ascii="仿宋" w:hAnsi="仿宋" w:eastAsia="仿宋"/>
          <w:b/>
          <w:bCs/>
          <w:sz w:val="32"/>
          <w:szCs w:val="32"/>
          <w:lang w:eastAsia="zh-CN"/>
        </w:rPr>
      </w:pP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4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项目名称</w:t>
            </w:r>
          </w:p>
        </w:tc>
        <w:tc>
          <w:tcPr>
            <w:tcW w:w="4951" w:type="dxa"/>
          </w:tcPr>
          <w:p>
            <w:pPr>
              <w:pStyle w:val="3"/>
              <w:ind w:firstLine="0" w:firstLineChars="0"/>
              <w:rPr>
                <w:rFonts w:ascii="仿宋" w:hAnsi="仿宋" w:eastAsia="仿宋"/>
                <w:sz w:val="30"/>
                <w:szCs w:val="30"/>
                <w:lang w:eastAsia="zh-CN"/>
              </w:rPr>
            </w:pPr>
            <w:r>
              <w:rPr>
                <w:rFonts w:hint="eastAsia" w:ascii="仿宋_GB2312" w:hAnsi="仿宋_GB2312" w:eastAsia="仿宋_GB2312" w:cs="仿宋_GB2312"/>
                <w:sz w:val="32"/>
                <w:szCs w:val="32"/>
                <w:lang w:eastAsia="zh-CN"/>
              </w:rPr>
              <w:t>安徽省农垦集团有限公司招标代理机构备选库增补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8"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参选人</w:t>
            </w:r>
          </w:p>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（加盖单位盖章）</w:t>
            </w:r>
          </w:p>
        </w:tc>
        <w:tc>
          <w:tcPr>
            <w:tcW w:w="4951" w:type="dxa"/>
          </w:tcPr>
          <w:p>
            <w:pPr>
              <w:pStyle w:val="3"/>
              <w:ind w:firstLine="300"/>
              <w:rPr>
                <w:rFonts w:ascii="仿宋" w:hAnsi="仿宋" w:eastAsia="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报名时间</w:t>
            </w:r>
          </w:p>
        </w:tc>
        <w:tc>
          <w:tcPr>
            <w:tcW w:w="4951" w:type="dxa"/>
          </w:tcPr>
          <w:p>
            <w:pPr>
              <w:pStyle w:val="3"/>
              <w:ind w:firstLine="300"/>
              <w:rPr>
                <w:rFonts w:ascii="仿宋" w:hAnsi="仿宋" w:eastAsia="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项目联系人</w:t>
            </w:r>
          </w:p>
        </w:tc>
        <w:tc>
          <w:tcPr>
            <w:tcW w:w="4951" w:type="dxa"/>
          </w:tcPr>
          <w:p>
            <w:pPr>
              <w:pStyle w:val="3"/>
              <w:ind w:firstLine="300"/>
              <w:rPr>
                <w:rFonts w:ascii="仿宋" w:hAnsi="仿宋" w:eastAsia="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电子邮箱</w:t>
            </w:r>
          </w:p>
        </w:tc>
        <w:tc>
          <w:tcPr>
            <w:tcW w:w="4951" w:type="dxa"/>
          </w:tcPr>
          <w:p>
            <w:pPr>
              <w:pStyle w:val="3"/>
              <w:ind w:firstLine="300"/>
              <w:rPr>
                <w:rFonts w:ascii="仿宋" w:hAnsi="仿宋" w:eastAsia="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571" w:type="dxa"/>
            <w:vAlign w:val="center"/>
          </w:tcPr>
          <w:p>
            <w:pPr>
              <w:pStyle w:val="3"/>
              <w:ind w:firstLine="320"/>
              <w:jc w:val="center"/>
              <w:rPr>
                <w:rFonts w:ascii="仿宋" w:hAnsi="仿宋" w:eastAsia="仿宋"/>
                <w:sz w:val="32"/>
                <w:szCs w:val="32"/>
                <w:lang w:eastAsia="zh-CN"/>
              </w:rPr>
            </w:pPr>
            <w:r>
              <w:rPr>
                <w:rFonts w:hint="eastAsia" w:ascii="仿宋" w:hAnsi="仿宋" w:eastAsia="仿宋"/>
                <w:sz w:val="32"/>
                <w:szCs w:val="32"/>
                <w:lang w:eastAsia="zh-CN"/>
              </w:rPr>
              <w:t>联系电话</w:t>
            </w:r>
          </w:p>
        </w:tc>
        <w:tc>
          <w:tcPr>
            <w:tcW w:w="4951" w:type="dxa"/>
          </w:tcPr>
          <w:p>
            <w:pPr>
              <w:pStyle w:val="3"/>
              <w:ind w:firstLine="300"/>
              <w:rPr>
                <w:rFonts w:ascii="仿宋" w:hAnsi="仿宋" w:eastAsia="仿宋"/>
                <w:sz w:val="30"/>
                <w:szCs w:val="30"/>
                <w:lang w:eastAsia="zh-CN"/>
              </w:rPr>
            </w:pPr>
          </w:p>
        </w:tc>
      </w:tr>
    </w:tbl>
    <w:p>
      <w:pPr>
        <w:pStyle w:val="3"/>
        <w:ind w:firstLine="0" w:firstLineChars="0"/>
        <w:rPr>
          <w:rFonts w:ascii="仿宋" w:hAnsi="仿宋" w:eastAsia="仿宋"/>
          <w:sz w:val="30"/>
          <w:szCs w:val="30"/>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spacing w:line="300" w:lineRule="exact"/>
        <w:ind w:firstLine="0" w:firstLineChars="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附件2：代理机构备选库评分表</w:t>
      </w:r>
    </w:p>
    <w:p>
      <w:pPr>
        <w:spacing w:line="300" w:lineRule="exact"/>
        <w:ind w:firstLine="602" w:firstLineChars="200"/>
        <w:jc w:val="center"/>
        <w:rPr>
          <w:rFonts w:hint="eastAsia" w:ascii="仿宋" w:hAnsi="仿宋" w:eastAsia="仿宋"/>
          <w:b/>
          <w:sz w:val="30"/>
          <w:szCs w:val="30"/>
        </w:rPr>
      </w:pPr>
    </w:p>
    <w:p>
      <w:pPr>
        <w:spacing w:line="300" w:lineRule="exact"/>
        <w:ind w:firstLine="602" w:firstLineChars="200"/>
        <w:jc w:val="center"/>
        <w:rPr>
          <w:rFonts w:hint="eastAsia" w:ascii="仿宋" w:hAnsi="仿宋" w:eastAsia="仿宋"/>
          <w:b/>
          <w:sz w:val="30"/>
          <w:szCs w:val="30"/>
        </w:rPr>
      </w:pPr>
      <w:r>
        <w:rPr>
          <w:rFonts w:hint="eastAsia" w:ascii="仿宋" w:hAnsi="仿宋" w:eastAsia="仿宋"/>
          <w:b/>
          <w:sz w:val="30"/>
          <w:szCs w:val="30"/>
        </w:rPr>
        <w:t>评分办法（综合评分法）</w:t>
      </w:r>
    </w:p>
    <w:p>
      <w:pPr>
        <w:spacing w:line="300" w:lineRule="exact"/>
        <w:ind w:firstLine="602" w:firstLineChars="200"/>
        <w:jc w:val="center"/>
        <w:rPr>
          <w:rFonts w:hint="eastAsia" w:ascii="仿宋" w:hAnsi="仿宋" w:eastAsia="仿宋"/>
          <w:b/>
          <w:sz w:val="30"/>
          <w:szCs w:val="30"/>
        </w:rPr>
      </w:pPr>
    </w:p>
    <w:tbl>
      <w:tblPr>
        <w:tblStyle w:val="11"/>
        <w:tblW w:w="9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48"/>
        <w:gridCol w:w="5095"/>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eastAsia"/>
                <w:b/>
                <w:szCs w:val="21"/>
              </w:rPr>
            </w:pPr>
            <w:r>
              <w:rPr>
                <w:rFonts w:hint="eastAsia"/>
                <w:b/>
                <w:szCs w:val="21"/>
              </w:rPr>
              <w:t>序号</w:t>
            </w:r>
          </w:p>
        </w:tc>
        <w:tc>
          <w:tcPr>
            <w:tcW w:w="2348" w:type="dxa"/>
            <w:vAlign w:val="center"/>
          </w:tcPr>
          <w:p>
            <w:pPr>
              <w:snapToGrid w:val="0"/>
              <w:spacing w:line="240" w:lineRule="auto"/>
              <w:jc w:val="center"/>
              <w:rPr>
                <w:rFonts w:hint="eastAsia"/>
                <w:b/>
                <w:szCs w:val="21"/>
              </w:rPr>
            </w:pPr>
            <w:r>
              <w:rPr>
                <w:rFonts w:hint="eastAsia"/>
                <w:b/>
                <w:szCs w:val="21"/>
              </w:rPr>
              <w:t>评分项</w:t>
            </w:r>
          </w:p>
        </w:tc>
        <w:tc>
          <w:tcPr>
            <w:tcW w:w="5095" w:type="dxa"/>
            <w:vAlign w:val="center"/>
          </w:tcPr>
          <w:p>
            <w:pPr>
              <w:adjustRightInd w:val="0"/>
              <w:snapToGrid w:val="0"/>
              <w:spacing w:line="240" w:lineRule="auto"/>
              <w:jc w:val="center"/>
              <w:rPr>
                <w:rFonts w:hint="eastAsia"/>
                <w:b/>
                <w:szCs w:val="21"/>
              </w:rPr>
            </w:pPr>
            <w:r>
              <w:rPr>
                <w:rFonts w:hint="eastAsia"/>
                <w:b/>
                <w:szCs w:val="21"/>
              </w:rPr>
              <w:t>评分标准</w:t>
            </w:r>
          </w:p>
        </w:tc>
        <w:tc>
          <w:tcPr>
            <w:tcW w:w="1081" w:type="dxa"/>
            <w:vAlign w:val="center"/>
          </w:tcPr>
          <w:p>
            <w:pPr>
              <w:snapToGrid w:val="0"/>
              <w:spacing w:line="240" w:lineRule="auto"/>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eastAsia" w:eastAsiaTheme="minorEastAsia"/>
                <w:b/>
                <w:szCs w:val="21"/>
                <w:lang w:val="en-US" w:eastAsia="zh-CN"/>
              </w:rPr>
            </w:pPr>
            <w:r>
              <w:rPr>
                <w:rFonts w:hint="eastAsia"/>
                <w:b/>
                <w:szCs w:val="21"/>
                <w:lang w:val="en-US" w:eastAsia="zh-CN"/>
              </w:rPr>
              <w:t>1</w:t>
            </w:r>
          </w:p>
        </w:tc>
        <w:tc>
          <w:tcPr>
            <w:tcW w:w="2348" w:type="dxa"/>
            <w:vAlign w:val="center"/>
          </w:tcPr>
          <w:p>
            <w:pPr>
              <w:snapToGrid w:val="0"/>
              <w:spacing w:line="240" w:lineRule="auto"/>
              <w:jc w:val="center"/>
              <w:rPr>
                <w:rFonts w:hint="eastAsia"/>
                <w:b/>
                <w:szCs w:val="21"/>
              </w:rPr>
            </w:pPr>
            <w:r>
              <w:rPr>
                <w:rFonts w:hint="eastAsia"/>
                <w:b/>
                <w:szCs w:val="21"/>
              </w:rPr>
              <w:t>报价部分</w:t>
            </w:r>
          </w:p>
        </w:tc>
        <w:tc>
          <w:tcPr>
            <w:tcW w:w="5095" w:type="dxa"/>
            <w:vAlign w:val="center"/>
          </w:tcPr>
          <w:p>
            <w:pPr>
              <w:adjustRightInd w:val="0"/>
              <w:snapToGrid w:val="0"/>
              <w:spacing w:line="240" w:lineRule="auto"/>
              <w:jc w:val="both"/>
              <w:rPr>
                <w:rFonts w:hint="eastAsia"/>
                <w:b w:val="0"/>
                <w:bCs/>
                <w:szCs w:val="21"/>
              </w:rPr>
            </w:pPr>
            <w:r>
              <w:rPr>
                <w:rFonts w:hint="eastAsia"/>
                <w:b w:val="0"/>
                <w:bCs/>
                <w:szCs w:val="21"/>
              </w:rPr>
              <w:t>控制价为原《招标代理服务收费管理暂行办法》（计价格〔2002〕1980 号）规定标准的100%，代理费最高报价不得高于控制价，否则按无效处理。</w:t>
            </w:r>
          </w:p>
          <w:p>
            <w:pPr>
              <w:adjustRightInd w:val="0"/>
              <w:snapToGrid w:val="0"/>
              <w:spacing w:line="240" w:lineRule="auto"/>
              <w:jc w:val="both"/>
              <w:rPr>
                <w:rFonts w:hint="eastAsia"/>
                <w:b/>
                <w:szCs w:val="21"/>
              </w:rPr>
            </w:pPr>
            <w:r>
              <w:rPr>
                <w:rFonts w:hint="eastAsia"/>
                <w:b w:val="0"/>
                <w:bCs/>
                <w:szCs w:val="21"/>
              </w:rPr>
              <w:t>代理费每下浮1%，加1分，满分30分。</w:t>
            </w:r>
          </w:p>
        </w:tc>
        <w:tc>
          <w:tcPr>
            <w:tcW w:w="1081" w:type="dxa"/>
            <w:vAlign w:val="center"/>
          </w:tcPr>
          <w:p>
            <w:pPr>
              <w:snapToGrid w:val="0"/>
              <w:spacing w:line="240" w:lineRule="auto"/>
              <w:jc w:val="center"/>
              <w:rPr>
                <w:rFonts w:hint="default" w:eastAsiaTheme="minorEastAsia"/>
                <w:b/>
                <w:szCs w:val="21"/>
                <w:lang w:val="en-US" w:eastAsia="zh-CN"/>
              </w:rPr>
            </w:pPr>
            <w:r>
              <w:rPr>
                <w:rFonts w:hint="eastAsia"/>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eastAsia" w:eastAsiaTheme="minorEastAsia"/>
                <w:b/>
                <w:szCs w:val="21"/>
                <w:lang w:val="en-US" w:eastAsia="zh-CN"/>
              </w:rPr>
            </w:pPr>
            <w:r>
              <w:rPr>
                <w:rFonts w:hint="eastAsia"/>
                <w:b/>
                <w:szCs w:val="21"/>
                <w:lang w:val="en-US" w:eastAsia="zh-CN"/>
              </w:rPr>
              <w:t>2</w:t>
            </w:r>
          </w:p>
        </w:tc>
        <w:tc>
          <w:tcPr>
            <w:tcW w:w="2348" w:type="dxa"/>
            <w:vAlign w:val="center"/>
          </w:tcPr>
          <w:p>
            <w:pPr>
              <w:snapToGrid w:val="0"/>
              <w:spacing w:line="240" w:lineRule="auto"/>
              <w:jc w:val="center"/>
              <w:rPr>
                <w:rFonts w:hint="eastAsia" w:eastAsiaTheme="minorEastAsia"/>
                <w:b/>
                <w:szCs w:val="21"/>
                <w:lang w:eastAsia="zh-CN"/>
              </w:rPr>
            </w:pPr>
            <w:r>
              <w:rPr>
                <w:rFonts w:hint="eastAsia"/>
                <w:b/>
                <w:szCs w:val="21"/>
                <w:lang w:eastAsia="zh-CN"/>
              </w:rPr>
              <w:t>企业业绩</w:t>
            </w:r>
          </w:p>
        </w:tc>
        <w:tc>
          <w:tcPr>
            <w:tcW w:w="5095" w:type="dxa"/>
            <w:vAlign w:val="center"/>
          </w:tcPr>
          <w:p>
            <w:pPr>
              <w:adjustRightInd w:val="0"/>
              <w:snapToGrid w:val="0"/>
              <w:spacing w:line="300" w:lineRule="auto"/>
              <w:rPr>
                <w:rFonts w:hint="eastAsia" w:eastAsiaTheme="minorEastAsia"/>
                <w:szCs w:val="21"/>
                <w:lang w:eastAsia="zh-CN"/>
              </w:rPr>
            </w:pPr>
            <w:r>
              <w:rPr>
                <w:rFonts w:hint="eastAsia"/>
                <w:szCs w:val="21"/>
              </w:rPr>
              <w:t>2021年1月1日以来，投标人每具备一个单项投资金额在1000</w:t>
            </w:r>
            <w:r>
              <w:rPr>
                <w:szCs w:val="21"/>
              </w:rPr>
              <w:t>万</w:t>
            </w:r>
            <w:r>
              <w:rPr>
                <w:rFonts w:hint="eastAsia"/>
                <w:szCs w:val="21"/>
              </w:rPr>
              <w:t>元及以上的施工/货物/服务类项目招标代理业绩的得</w:t>
            </w:r>
            <w:r>
              <w:rPr>
                <w:rFonts w:hint="eastAsia"/>
                <w:szCs w:val="21"/>
                <w:lang w:val="en-US" w:eastAsia="zh-CN"/>
              </w:rPr>
              <w:t>2</w:t>
            </w:r>
            <w:r>
              <w:rPr>
                <w:rFonts w:hint="eastAsia"/>
                <w:szCs w:val="21"/>
              </w:rPr>
              <w:t>分；上述业绩如招标人为国企单位，每项业绩得</w:t>
            </w:r>
            <w:r>
              <w:rPr>
                <w:rFonts w:hint="eastAsia"/>
                <w:szCs w:val="21"/>
                <w:lang w:val="en-US" w:eastAsia="zh-CN"/>
              </w:rPr>
              <w:t>3</w:t>
            </w:r>
            <w:r>
              <w:rPr>
                <w:rFonts w:hint="eastAsia"/>
                <w:szCs w:val="21"/>
              </w:rPr>
              <w:t>分；本项满分12分</w:t>
            </w:r>
            <w:r>
              <w:rPr>
                <w:rFonts w:hint="eastAsia"/>
                <w:szCs w:val="21"/>
                <w:lang w:eastAsia="zh-CN"/>
              </w:rPr>
              <w:t>，资格审查业绩不计分。</w:t>
            </w:r>
          </w:p>
          <w:p>
            <w:pPr>
              <w:adjustRightInd w:val="0"/>
              <w:snapToGrid w:val="0"/>
              <w:spacing w:line="360" w:lineRule="auto"/>
              <w:ind w:left="42" w:leftChars="20" w:right="42" w:rightChars="20"/>
              <w:jc w:val="left"/>
              <w:rPr>
                <w:rFonts w:hint="eastAsia"/>
                <w:b/>
                <w:szCs w:val="21"/>
              </w:rPr>
            </w:pPr>
            <w:r>
              <w:rPr>
                <w:rFonts w:hint="eastAsia"/>
                <w:szCs w:val="21"/>
              </w:rPr>
              <w:t>备注：须提供以上业绩的招标代理合同（或招标代理委托书）、中标通知书复印件加盖鲜章</w:t>
            </w:r>
            <w:r>
              <w:rPr>
                <w:rFonts w:hint="eastAsia"/>
                <w:szCs w:val="21"/>
                <w:lang w:eastAsia="zh-CN"/>
              </w:rPr>
              <w:t>、</w:t>
            </w:r>
            <w:r>
              <w:rPr>
                <w:rFonts w:hint="eastAsia"/>
                <w:szCs w:val="21"/>
              </w:rPr>
              <w:t>招标公告截图及公告链接，否则业绩不予认可</w:t>
            </w:r>
          </w:p>
        </w:tc>
        <w:tc>
          <w:tcPr>
            <w:tcW w:w="1081" w:type="dxa"/>
            <w:vAlign w:val="center"/>
          </w:tcPr>
          <w:p>
            <w:pPr>
              <w:snapToGrid w:val="0"/>
              <w:spacing w:line="240" w:lineRule="auto"/>
              <w:jc w:val="center"/>
              <w:rPr>
                <w:rFonts w:hint="default" w:eastAsiaTheme="minorEastAsia"/>
                <w:b/>
                <w:szCs w:val="21"/>
                <w:lang w:val="en-US" w:eastAsia="zh-CN"/>
              </w:rPr>
            </w:pPr>
            <w:r>
              <w:rPr>
                <w:rFonts w:hint="eastAsia"/>
                <w:b/>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3</w:t>
            </w:r>
          </w:p>
        </w:tc>
        <w:tc>
          <w:tcPr>
            <w:tcW w:w="2348" w:type="dxa"/>
            <w:vAlign w:val="center"/>
          </w:tcPr>
          <w:p>
            <w:pPr>
              <w:snapToGrid w:val="0"/>
              <w:spacing w:line="240" w:lineRule="auto"/>
              <w:jc w:val="center"/>
              <w:rPr>
                <w:rFonts w:hint="eastAsia"/>
                <w:b/>
                <w:szCs w:val="21"/>
                <w:lang w:eastAsia="zh-CN"/>
              </w:rPr>
            </w:pPr>
            <w:r>
              <w:rPr>
                <w:rFonts w:hint="eastAsia"/>
                <w:b/>
                <w:szCs w:val="21"/>
                <w:lang w:eastAsia="zh-CN"/>
              </w:rPr>
              <w:t>招标服务场地</w:t>
            </w:r>
          </w:p>
        </w:tc>
        <w:tc>
          <w:tcPr>
            <w:tcW w:w="5095" w:type="dxa"/>
            <w:vAlign w:val="center"/>
          </w:tcPr>
          <w:p>
            <w:pPr>
              <w:adjustRightInd w:val="0"/>
              <w:snapToGrid w:val="0"/>
              <w:spacing w:line="360" w:lineRule="auto"/>
              <w:ind w:left="42" w:leftChars="20" w:right="42" w:rightChars="20"/>
              <w:jc w:val="left"/>
              <w:rPr>
                <w:rFonts w:hint="default" w:eastAsia="宋体"/>
                <w:szCs w:val="21"/>
                <w:lang w:val="en-US" w:eastAsia="zh-CN"/>
              </w:rPr>
            </w:pPr>
            <w:r>
              <w:rPr>
                <w:rFonts w:hint="eastAsia" w:ascii="宋体" w:hAnsi="宋体" w:eastAsia="宋体" w:cs="Times New Roman"/>
                <w:szCs w:val="21"/>
              </w:rPr>
              <w:t>代理招标服务所需的场地办公面积不低于</w:t>
            </w:r>
            <w:r>
              <w:rPr>
                <w:rFonts w:hint="eastAsia" w:ascii="宋体" w:hAnsi="宋体" w:eastAsia="宋体" w:cs="Times New Roman"/>
                <w:szCs w:val="21"/>
                <w:lang w:val="en-US" w:eastAsia="zh-CN"/>
              </w:rPr>
              <w:t>500</w:t>
            </w:r>
            <w:r>
              <w:rPr>
                <w:rFonts w:hint="eastAsia" w:ascii="宋体" w:hAnsi="宋体" w:eastAsia="宋体" w:cs="Times New Roman"/>
                <w:szCs w:val="21"/>
              </w:rPr>
              <w:t>平方米，每增加500平方米加1分，满分</w:t>
            </w:r>
            <w:r>
              <w:rPr>
                <w:rFonts w:hint="eastAsia" w:ascii="宋体" w:hAnsi="宋体" w:eastAsia="宋体" w:cs="Times New Roman"/>
                <w:szCs w:val="21"/>
                <w:lang w:val="en-US" w:eastAsia="zh-CN"/>
              </w:rPr>
              <w:t>2</w:t>
            </w:r>
            <w:r>
              <w:rPr>
                <w:rFonts w:hint="eastAsia" w:ascii="宋体" w:hAnsi="宋体" w:eastAsia="宋体" w:cs="Times New Roman"/>
                <w:szCs w:val="21"/>
              </w:rPr>
              <w:t>分</w:t>
            </w:r>
            <w:r>
              <w:rPr>
                <w:rFonts w:hint="eastAsia" w:ascii="宋体" w:hAnsi="宋体" w:eastAsia="宋体" w:cs="Times New Roman"/>
                <w:szCs w:val="21"/>
                <w:lang w:eastAsia="zh-CN"/>
              </w:rPr>
              <w:t>，以租赁协议或者房产证面积为准，增加面积不足</w:t>
            </w:r>
            <w:r>
              <w:rPr>
                <w:rFonts w:hint="eastAsia" w:ascii="宋体" w:hAnsi="宋体" w:eastAsia="宋体" w:cs="Times New Roman"/>
                <w:szCs w:val="21"/>
                <w:lang w:val="en-US" w:eastAsia="zh-CN"/>
              </w:rPr>
              <w:t>500平方米的不予加分。</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4</w:t>
            </w:r>
          </w:p>
        </w:tc>
        <w:tc>
          <w:tcPr>
            <w:tcW w:w="2348" w:type="dxa"/>
            <w:vAlign w:val="center"/>
          </w:tcPr>
          <w:p>
            <w:pPr>
              <w:snapToGrid w:val="0"/>
              <w:spacing w:line="240" w:lineRule="auto"/>
              <w:jc w:val="center"/>
              <w:rPr>
                <w:rFonts w:hint="eastAsia"/>
                <w:b/>
                <w:szCs w:val="21"/>
                <w:lang w:eastAsia="zh-CN"/>
              </w:rPr>
            </w:pPr>
            <w:r>
              <w:rPr>
                <w:rFonts w:hint="eastAsia"/>
                <w:b/>
                <w:szCs w:val="21"/>
                <w:lang w:eastAsia="zh-CN"/>
              </w:rPr>
              <w:t>代理平台系统能力方面</w:t>
            </w:r>
          </w:p>
        </w:tc>
        <w:tc>
          <w:tcPr>
            <w:tcW w:w="5095" w:type="dxa"/>
            <w:vAlign w:val="center"/>
          </w:tcPr>
          <w:p>
            <w:pPr>
              <w:adjustRightInd w:val="0"/>
              <w:snapToGrid w:val="0"/>
              <w:spacing w:line="360" w:lineRule="auto"/>
              <w:ind w:left="42" w:leftChars="20" w:right="42" w:rightChars="20"/>
              <w:jc w:val="left"/>
              <w:rPr>
                <w:rFonts w:hint="default"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eastAsia="zh-CN"/>
              </w:rPr>
              <w:t>要具备在安徽合肥公共资源交易中心以及安徽省招投标信息网招标采购协会专家库抽取专家的能力，提供证明材料、截屏资料，本项</w:t>
            </w:r>
            <w:r>
              <w:rPr>
                <w:rFonts w:hint="eastAsia" w:ascii="宋体" w:hAnsi="宋体" w:eastAsia="宋体" w:cs="Times New Roman"/>
                <w:szCs w:val="21"/>
                <w:lang w:val="en-US" w:eastAsia="zh-CN"/>
              </w:rPr>
              <w:t>2分。</w:t>
            </w:r>
          </w:p>
          <w:p>
            <w:pPr>
              <w:adjustRightInd w:val="0"/>
              <w:snapToGrid w:val="0"/>
              <w:spacing w:line="360" w:lineRule="auto"/>
              <w:ind w:left="42" w:leftChars="20" w:right="42" w:rightChars="20"/>
              <w:jc w:val="left"/>
              <w:rPr>
                <w:rFonts w:hint="eastAsia" w:ascii="宋体" w:hAnsi="宋体" w:eastAsia="宋体" w:cs="Times New Roman"/>
                <w:szCs w:val="21"/>
                <w:lang w:eastAsia="zh-CN"/>
              </w:rPr>
            </w:pPr>
            <w:r>
              <w:rPr>
                <w:rFonts w:hint="eastAsia" w:ascii="宋体" w:hAnsi="宋体" w:eastAsia="宋体" w:cs="Times New Roman"/>
                <w:szCs w:val="21"/>
              </w:rPr>
              <w:t>（2）具有通过国家电子招标投标系统检测认证的电子交易平台系统，得3分，</w:t>
            </w:r>
            <w:r>
              <w:rPr>
                <w:rFonts w:hint="eastAsia" w:ascii="宋体" w:hAnsi="宋体" w:eastAsia="宋体" w:cs="Times New Roman"/>
                <w:szCs w:val="21"/>
                <w:lang w:eastAsia="zh-CN"/>
              </w:rPr>
              <w:t>自有系统未取得认证或</w:t>
            </w:r>
            <w:r>
              <w:rPr>
                <w:rFonts w:hint="eastAsia" w:ascii="宋体" w:hAnsi="宋体" w:eastAsia="宋体" w:cs="Times New Roman"/>
                <w:szCs w:val="21"/>
              </w:rPr>
              <w:t>租用其他单位相应的平台系统得2分</w:t>
            </w:r>
            <w:r>
              <w:rPr>
                <w:rFonts w:hint="eastAsia" w:ascii="宋体" w:hAnsi="宋体" w:eastAsia="宋体" w:cs="Times New Roman"/>
                <w:szCs w:val="21"/>
                <w:lang w:eastAsia="zh-CN"/>
              </w:rPr>
              <w:t>。</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本项合计5分。（注：须提供电子交易平台截图、认证证书以及</w:t>
            </w:r>
            <w:r>
              <w:rPr>
                <w:rFonts w:hint="eastAsia" w:ascii="宋体" w:hAnsi="宋体" w:eastAsia="宋体" w:cs="Times New Roman"/>
                <w:szCs w:val="21"/>
                <w:lang w:eastAsia="zh-CN"/>
              </w:rPr>
              <w:t>相关</w:t>
            </w:r>
            <w:r>
              <w:rPr>
                <w:rFonts w:hint="eastAsia" w:ascii="宋体" w:hAnsi="宋体" w:eastAsia="宋体" w:cs="Times New Roman"/>
                <w:szCs w:val="21"/>
              </w:rPr>
              <w:t>的证明材料）</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5</w:t>
            </w:r>
          </w:p>
        </w:tc>
        <w:tc>
          <w:tcPr>
            <w:tcW w:w="2348" w:type="dxa"/>
            <w:vAlign w:val="center"/>
          </w:tcPr>
          <w:p>
            <w:pPr>
              <w:snapToGrid w:val="0"/>
              <w:spacing w:line="240" w:lineRule="auto"/>
              <w:jc w:val="center"/>
              <w:rPr>
                <w:rFonts w:hint="eastAsia"/>
                <w:b/>
                <w:szCs w:val="21"/>
                <w:lang w:eastAsia="zh-CN"/>
              </w:rPr>
            </w:pPr>
            <w:r>
              <w:rPr>
                <w:rFonts w:hint="eastAsia" w:ascii="宋体" w:hAnsi="宋体" w:eastAsia="宋体" w:cs="Times New Roman"/>
                <w:szCs w:val="21"/>
              </w:rPr>
              <w:t>团队负责人</w:t>
            </w:r>
          </w:p>
        </w:tc>
        <w:tc>
          <w:tcPr>
            <w:tcW w:w="5095" w:type="dxa"/>
            <w:vAlign w:val="center"/>
          </w:tcPr>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拟派团队负责人：</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（1）具有招标师或招采人员认证中级证书的，得2分；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（2）具有一级注册造价师的，得2分；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（3）具有高级职称的，得2分；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备注：须提供拟派团队负责人身份证、相应证书、2024年</w:t>
            </w:r>
            <w:r>
              <w:rPr>
                <w:rFonts w:hint="eastAsia" w:ascii="宋体" w:hAnsi="宋体" w:eastAsia="宋体" w:cs="Times New Roman"/>
                <w:szCs w:val="21"/>
                <w:lang w:val="en-US" w:eastAsia="zh-CN"/>
              </w:rPr>
              <w:t>1</w:t>
            </w:r>
            <w:r>
              <w:rPr>
                <w:rFonts w:hint="eastAsia" w:ascii="宋体" w:hAnsi="宋体" w:eastAsia="宋体" w:cs="Times New Roman"/>
                <w:szCs w:val="21"/>
              </w:rPr>
              <w:t>月份以来</w:t>
            </w:r>
            <w:r>
              <w:rPr>
                <w:rFonts w:hint="eastAsia" w:ascii="宋体" w:hAnsi="宋体" w:eastAsia="宋体" w:cs="Times New Roman"/>
                <w:szCs w:val="21"/>
                <w:lang w:eastAsia="zh-CN"/>
              </w:rPr>
              <w:t>连续</w:t>
            </w:r>
            <w:r>
              <w:rPr>
                <w:rFonts w:hint="eastAsia" w:ascii="宋体" w:hAnsi="宋体" w:eastAsia="宋体" w:cs="Times New Roman"/>
                <w:szCs w:val="21"/>
                <w:lang w:val="en-US" w:eastAsia="zh-CN"/>
              </w:rPr>
              <w:t>3个月</w:t>
            </w:r>
            <w:r>
              <w:rPr>
                <w:rFonts w:hint="eastAsia" w:ascii="宋体" w:hAnsi="宋体" w:eastAsia="宋体" w:cs="Times New Roman"/>
                <w:szCs w:val="21"/>
              </w:rPr>
              <w:t>投标人为其缴纳的社保证明材料复印件并加盖投标人公章，否则不予认可。</w:t>
            </w:r>
          </w:p>
          <w:p>
            <w:pPr>
              <w:adjustRightInd w:val="0"/>
              <w:snapToGrid w:val="0"/>
              <w:spacing w:line="360" w:lineRule="auto"/>
              <w:ind w:left="42" w:leftChars="20" w:right="42" w:rightChars="20"/>
              <w:jc w:val="left"/>
              <w:rPr>
                <w:rFonts w:hint="eastAsia" w:ascii="宋体" w:hAnsi="宋体" w:eastAsia="宋体" w:cs="Times New Roman"/>
                <w:szCs w:val="21"/>
              </w:rPr>
            </w:pP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6</w:t>
            </w:r>
          </w:p>
        </w:tc>
        <w:tc>
          <w:tcPr>
            <w:tcW w:w="2348" w:type="dxa"/>
            <w:vAlign w:val="center"/>
          </w:tcPr>
          <w:p>
            <w:pPr>
              <w:snapToGrid w:val="0"/>
              <w:spacing w:line="24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项目团队成员</w:t>
            </w:r>
          </w:p>
        </w:tc>
        <w:tc>
          <w:tcPr>
            <w:tcW w:w="5095" w:type="dxa"/>
            <w:vAlign w:val="center"/>
          </w:tcPr>
          <w:p>
            <w:pPr>
              <w:numPr>
                <w:ilvl w:val="0"/>
                <w:numId w:val="1"/>
              </w:numPr>
              <w:adjustRightInd w:val="0"/>
              <w:snapToGrid w:val="0"/>
              <w:spacing w:line="360" w:lineRule="auto"/>
              <w:ind w:right="42" w:rightChars="20"/>
              <w:jc w:val="left"/>
              <w:rPr>
                <w:rFonts w:hint="eastAsia" w:ascii="宋体" w:hAnsi="宋体" w:eastAsia="宋体" w:cs="Times New Roman"/>
                <w:szCs w:val="21"/>
              </w:rPr>
            </w:pPr>
            <w:r>
              <w:rPr>
                <w:rFonts w:hint="eastAsia" w:ascii="宋体" w:hAnsi="宋体" w:eastAsia="宋体" w:cs="Times New Roman"/>
                <w:szCs w:val="21"/>
              </w:rPr>
              <w:t>拟派项目团队成员（不含团队负责人）中，每提供一名具有一级造价工程师证书的，得</w:t>
            </w:r>
            <w:r>
              <w:rPr>
                <w:rFonts w:hint="eastAsia" w:ascii="宋体" w:hAnsi="宋体" w:eastAsia="宋体" w:cs="Times New Roman"/>
                <w:szCs w:val="21"/>
                <w:lang w:val="en-US" w:eastAsia="zh-CN"/>
              </w:rPr>
              <w:t>2</w:t>
            </w:r>
            <w:r>
              <w:rPr>
                <w:rFonts w:hint="eastAsia" w:ascii="宋体" w:hAnsi="宋体" w:eastAsia="宋体" w:cs="Times New Roman"/>
                <w:szCs w:val="21"/>
              </w:rPr>
              <w:t>分，本小项满分</w:t>
            </w:r>
            <w:r>
              <w:rPr>
                <w:rFonts w:hint="eastAsia" w:ascii="宋体" w:hAnsi="宋体" w:eastAsia="宋体" w:cs="Times New Roman"/>
                <w:szCs w:val="21"/>
                <w:lang w:val="en-US" w:eastAsia="zh-CN"/>
              </w:rPr>
              <w:t>4</w:t>
            </w:r>
            <w:r>
              <w:rPr>
                <w:rFonts w:hint="eastAsia" w:ascii="宋体" w:hAnsi="宋体" w:eastAsia="宋体" w:cs="Times New Roman"/>
                <w:szCs w:val="21"/>
              </w:rPr>
              <w:t>分；</w:t>
            </w:r>
          </w:p>
          <w:p>
            <w:pPr>
              <w:numPr>
                <w:ilvl w:val="0"/>
                <w:numId w:val="1"/>
              </w:numPr>
              <w:adjustRightInd w:val="0"/>
              <w:snapToGrid w:val="0"/>
              <w:spacing w:line="360" w:lineRule="auto"/>
              <w:ind w:right="42" w:rightChars="20"/>
              <w:jc w:val="left"/>
              <w:rPr>
                <w:rFonts w:hint="eastAsia" w:ascii="宋体" w:hAnsi="宋体" w:eastAsia="宋体" w:cs="Times New Roman"/>
                <w:szCs w:val="21"/>
              </w:rPr>
            </w:pPr>
            <w:r>
              <w:rPr>
                <w:rFonts w:hint="eastAsia" w:ascii="宋体" w:hAnsi="宋体" w:eastAsia="宋体" w:cs="Times New Roman"/>
                <w:szCs w:val="21"/>
                <w:lang w:eastAsia="zh-CN"/>
              </w:rPr>
              <w:t>每提供一个</w:t>
            </w:r>
            <w:r>
              <w:rPr>
                <w:rFonts w:hint="eastAsia" w:ascii="宋体" w:hAnsi="宋体" w:eastAsia="宋体" w:cs="Times New Roman"/>
                <w:szCs w:val="21"/>
              </w:rPr>
              <w:t>中招协招采人员</w:t>
            </w:r>
            <w:r>
              <w:rPr>
                <w:rFonts w:hint="eastAsia" w:ascii="宋体" w:hAnsi="宋体" w:eastAsia="宋体" w:cs="Times New Roman"/>
                <w:szCs w:val="21"/>
                <w:lang w:eastAsia="zh-CN"/>
              </w:rPr>
              <w:t>或者省招协</w:t>
            </w:r>
            <w:r>
              <w:rPr>
                <w:rFonts w:hint="eastAsia" w:ascii="宋体" w:hAnsi="宋体" w:eastAsia="宋体" w:cs="Times New Roman"/>
                <w:szCs w:val="21"/>
              </w:rPr>
              <w:t>认证证书</w:t>
            </w:r>
            <w:r>
              <w:rPr>
                <w:rFonts w:hint="eastAsia" w:ascii="宋体" w:hAnsi="宋体" w:eastAsia="宋体" w:cs="Times New Roman"/>
                <w:szCs w:val="21"/>
                <w:lang w:eastAsia="zh-CN"/>
              </w:rPr>
              <w:t>，得</w:t>
            </w:r>
            <w:r>
              <w:rPr>
                <w:rFonts w:hint="eastAsia" w:ascii="宋体" w:hAnsi="宋体" w:eastAsia="宋体" w:cs="Times New Roman"/>
                <w:szCs w:val="21"/>
                <w:lang w:val="en-US" w:eastAsia="zh-CN"/>
              </w:rPr>
              <w:t>1分，本项满分为5分。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备注：</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1.同一人具备多个证书可</w:t>
            </w:r>
            <w:r>
              <w:rPr>
                <w:rFonts w:hint="eastAsia" w:ascii="宋体" w:hAnsi="宋体" w:eastAsia="宋体" w:cs="Times New Roman"/>
                <w:szCs w:val="21"/>
                <w:lang w:eastAsia="zh-CN"/>
              </w:rPr>
              <w:t>不</w:t>
            </w:r>
            <w:r>
              <w:rPr>
                <w:rFonts w:hint="eastAsia" w:ascii="宋体" w:hAnsi="宋体" w:eastAsia="宋体" w:cs="Times New Roman"/>
                <w:szCs w:val="21"/>
              </w:rPr>
              <w:t>同时计分。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2.须提供以上人员身份证、相应证书、2024年</w:t>
            </w:r>
            <w:r>
              <w:rPr>
                <w:rFonts w:hint="eastAsia" w:ascii="宋体" w:hAnsi="宋体" w:eastAsia="宋体" w:cs="Times New Roman"/>
                <w:szCs w:val="21"/>
                <w:lang w:val="en-US" w:eastAsia="zh-CN"/>
              </w:rPr>
              <w:t>1</w:t>
            </w:r>
            <w:r>
              <w:rPr>
                <w:rFonts w:hint="eastAsia" w:ascii="宋体" w:hAnsi="宋体" w:eastAsia="宋体" w:cs="Times New Roman"/>
                <w:szCs w:val="21"/>
              </w:rPr>
              <w:t>月份以</w:t>
            </w:r>
            <w:r>
              <w:rPr>
                <w:rFonts w:hint="eastAsia" w:ascii="宋体" w:hAnsi="宋体" w:eastAsia="宋体" w:cs="Times New Roman"/>
                <w:szCs w:val="21"/>
                <w:lang w:eastAsia="zh-CN"/>
              </w:rPr>
              <w:t>来连续</w:t>
            </w:r>
            <w:r>
              <w:rPr>
                <w:rFonts w:hint="eastAsia" w:ascii="宋体" w:hAnsi="宋体" w:eastAsia="宋体" w:cs="Times New Roman"/>
                <w:szCs w:val="21"/>
                <w:lang w:val="en-US" w:eastAsia="zh-CN"/>
              </w:rPr>
              <w:t>3个月</w:t>
            </w:r>
            <w:r>
              <w:rPr>
                <w:rFonts w:hint="eastAsia" w:ascii="宋体" w:hAnsi="宋体" w:eastAsia="宋体" w:cs="Times New Roman"/>
                <w:szCs w:val="21"/>
              </w:rPr>
              <w:t>的投标人为其缴纳的社保证明材料复印件，否则不予认可。</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7</w:t>
            </w:r>
          </w:p>
        </w:tc>
        <w:tc>
          <w:tcPr>
            <w:tcW w:w="2348" w:type="dxa"/>
            <w:vAlign w:val="center"/>
          </w:tcPr>
          <w:p>
            <w:pPr>
              <w:snapToGrid w:val="0"/>
              <w:spacing w:line="240" w:lineRule="auto"/>
              <w:jc w:val="center"/>
              <w:rPr>
                <w:rFonts w:hint="eastAsia" w:ascii="宋体" w:hAnsi="宋体" w:eastAsia="宋体" w:cs="Times New Roman"/>
                <w:szCs w:val="21"/>
                <w:lang w:eastAsia="zh-CN"/>
              </w:rPr>
            </w:pPr>
            <w:r>
              <w:rPr>
                <w:rFonts w:hint="eastAsia" w:ascii="宋体" w:hAnsi="宋体" w:eastAsia="宋体" w:cs="Times New Roman"/>
                <w:szCs w:val="21"/>
                <w:lang w:eastAsia="zh-CN"/>
              </w:rPr>
              <w:t>服务方案</w:t>
            </w:r>
          </w:p>
        </w:tc>
        <w:tc>
          <w:tcPr>
            <w:tcW w:w="5095" w:type="dxa"/>
            <w:vAlign w:val="center"/>
          </w:tcPr>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结合本项目特点，提供整体服务方案，内容包括但不限于对招标人业务情况的理解、组织策划、人员安排、招标等过程实施及沟通</w:t>
            </w:r>
            <w:r>
              <w:rPr>
                <w:rFonts w:hint="eastAsia" w:ascii="宋体" w:hAnsi="宋体" w:eastAsia="宋体" w:cs="Times New Roman"/>
                <w:szCs w:val="21"/>
                <w:lang w:eastAsia="zh-CN"/>
              </w:rPr>
              <w:t>以及质疑与投诉处理等服务事项</w:t>
            </w:r>
            <w:r>
              <w:rPr>
                <w:rFonts w:hint="eastAsia" w:ascii="宋体" w:hAnsi="宋体" w:eastAsia="宋体" w:cs="Times New Roman"/>
                <w:szCs w:val="21"/>
              </w:rPr>
              <w:t>。</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项目理解透彻，工作计划详细，代理程序科学合理、全面，得</w:t>
            </w:r>
            <w:r>
              <w:rPr>
                <w:rFonts w:hint="eastAsia" w:ascii="宋体" w:hAnsi="宋体" w:eastAsia="宋体" w:cs="Times New Roman"/>
                <w:szCs w:val="21"/>
                <w:lang w:val="en-US" w:eastAsia="zh-CN"/>
              </w:rPr>
              <w:t>7-10</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项目理解较透彻，工作计划较详细，代理程序可行、较全面，得</w:t>
            </w:r>
            <w:r>
              <w:rPr>
                <w:rFonts w:hint="eastAsia" w:ascii="宋体" w:hAnsi="宋体" w:eastAsia="宋体" w:cs="Times New Roman"/>
                <w:szCs w:val="21"/>
                <w:lang w:val="en-US" w:eastAsia="zh-CN"/>
              </w:rPr>
              <w:t>4-6</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项目理解一般，工作计划粗略，代理程序简单、片面，得</w:t>
            </w:r>
            <w:r>
              <w:rPr>
                <w:rFonts w:hint="eastAsia" w:ascii="宋体" w:hAnsi="宋体" w:eastAsia="宋体" w:cs="Times New Roman"/>
                <w:szCs w:val="21"/>
                <w:lang w:val="en-US" w:eastAsia="zh-CN"/>
              </w:rPr>
              <w:t>1-3</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未提供不得分。</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8</w:t>
            </w:r>
          </w:p>
        </w:tc>
        <w:tc>
          <w:tcPr>
            <w:tcW w:w="2348" w:type="dxa"/>
            <w:vAlign w:val="center"/>
          </w:tcPr>
          <w:p>
            <w:pPr>
              <w:snapToGrid w:val="0"/>
              <w:spacing w:line="240" w:lineRule="auto"/>
              <w:jc w:val="center"/>
              <w:rPr>
                <w:rFonts w:hint="eastAsia" w:ascii="宋体" w:hAnsi="宋体" w:eastAsia="宋体" w:cs="Times New Roman"/>
                <w:szCs w:val="21"/>
                <w:lang w:eastAsia="zh-CN"/>
              </w:rPr>
            </w:pPr>
            <w:r>
              <w:rPr>
                <w:rFonts w:hint="eastAsia"/>
                <w:szCs w:val="21"/>
              </w:rPr>
              <w:t>廉洁保密及风险控制方案</w:t>
            </w:r>
          </w:p>
        </w:tc>
        <w:tc>
          <w:tcPr>
            <w:tcW w:w="5095" w:type="dxa"/>
            <w:vAlign w:val="center"/>
          </w:tcPr>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提供符合本次项目特点的风险管控方案，包括企业内部风险管控机制，采购全过程的风险识别及应对措施，廉洁、保密、异议处理等。根据方案针对性，完整性、科学性、可操作性等方面进行综合考评打分。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风险控制依据和标准全面，风险控制体系健全，风险控制制度完善且针对性强，得</w:t>
            </w:r>
            <w:r>
              <w:rPr>
                <w:rFonts w:hint="eastAsia" w:ascii="宋体" w:hAnsi="宋体" w:eastAsia="宋体" w:cs="Times New Roman"/>
                <w:szCs w:val="21"/>
                <w:lang w:val="en-US" w:eastAsia="zh-CN"/>
              </w:rPr>
              <w:t>6-10</w:t>
            </w:r>
            <w:bookmarkStart w:id="0" w:name="_GoBack"/>
            <w:bookmarkEnd w:id="0"/>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风险控制依据和标准一般，风险控制体系一般，风险控制制度一般、针对性一般，得</w:t>
            </w:r>
            <w:r>
              <w:rPr>
                <w:rFonts w:hint="eastAsia" w:ascii="宋体" w:hAnsi="宋体" w:eastAsia="宋体" w:cs="Times New Roman"/>
                <w:szCs w:val="21"/>
                <w:lang w:val="en-US" w:eastAsia="zh-CN"/>
              </w:rPr>
              <w:t>4-5</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风险控制依据和标准不全面，风险控制体系不健全，风险控制制度不完整、针对性不强，得</w:t>
            </w:r>
            <w:r>
              <w:rPr>
                <w:rFonts w:hint="eastAsia" w:ascii="宋体" w:hAnsi="宋体" w:eastAsia="宋体" w:cs="Times New Roman"/>
                <w:szCs w:val="21"/>
                <w:lang w:val="en-US" w:eastAsia="zh-CN"/>
              </w:rPr>
              <w:t>1-3</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未提供不得分。</w:t>
            </w:r>
          </w:p>
          <w:p>
            <w:pPr>
              <w:adjustRightInd w:val="0"/>
              <w:snapToGrid w:val="0"/>
              <w:spacing w:line="360" w:lineRule="auto"/>
              <w:ind w:left="42" w:leftChars="20" w:right="42" w:rightChars="20"/>
              <w:jc w:val="left"/>
              <w:rPr>
                <w:rFonts w:hint="eastAsia" w:ascii="宋体" w:hAnsi="宋体" w:eastAsia="宋体" w:cs="Times New Roman"/>
                <w:szCs w:val="21"/>
              </w:rPr>
            </w:pP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9</w:t>
            </w:r>
          </w:p>
        </w:tc>
        <w:tc>
          <w:tcPr>
            <w:tcW w:w="2348" w:type="dxa"/>
            <w:vAlign w:val="center"/>
          </w:tcPr>
          <w:p>
            <w:pPr>
              <w:snapToGrid w:val="0"/>
              <w:spacing w:line="240" w:lineRule="auto"/>
              <w:jc w:val="center"/>
              <w:rPr>
                <w:rFonts w:hint="eastAsia"/>
                <w:szCs w:val="21"/>
              </w:rPr>
            </w:pPr>
            <w:r>
              <w:rPr>
                <w:rFonts w:hint="eastAsia"/>
                <w:szCs w:val="21"/>
              </w:rPr>
              <w:t>项目进度保障措施</w:t>
            </w:r>
          </w:p>
        </w:tc>
        <w:tc>
          <w:tcPr>
            <w:tcW w:w="5095" w:type="dxa"/>
            <w:vAlign w:val="center"/>
          </w:tcPr>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针对本项目特点，投标人提供的进度保障措施包含但不限于编制进度计划及控制措施。</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进度保障措施内容完整、描述详细、措施合理、适用性强，能够满足项目进度要求，得</w:t>
            </w:r>
            <w:r>
              <w:rPr>
                <w:rFonts w:hint="eastAsia" w:ascii="宋体" w:hAnsi="宋体" w:eastAsia="宋体" w:cs="Times New Roman"/>
                <w:szCs w:val="21"/>
                <w:lang w:val="en-US" w:eastAsia="zh-CN"/>
              </w:rPr>
              <w:t>8-10</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进度保障措施内容较完整、描述较详细、措施合理但适用性一般，能够满足项目进度要求的，得</w:t>
            </w:r>
            <w:r>
              <w:rPr>
                <w:rFonts w:hint="eastAsia" w:ascii="宋体" w:hAnsi="宋体" w:eastAsia="宋体" w:cs="Times New Roman"/>
                <w:szCs w:val="21"/>
                <w:lang w:val="en-US" w:eastAsia="zh-CN"/>
              </w:rPr>
              <w:t>4-7</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进度保障措施内容欠缺、描述不详细得，得</w:t>
            </w:r>
            <w:r>
              <w:rPr>
                <w:rFonts w:hint="eastAsia" w:ascii="宋体" w:hAnsi="宋体" w:eastAsia="宋体" w:cs="Times New Roman"/>
                <w:szCs w:val="21"/>
                <w:lang w:val="en-US" w:eastAsia="zh-CN"/>
              </w:rPr>
              <w:t>1-3</w:t>
            </w:r>
            <w:r>
              <w:rPr>
                <w:rFonts w:hint="eastAsia" w:ascii="宋体" w:hAnsi="宋体" w:eastAsia="宋体" w:cs="Times New Roman"/>
                <w:szCs w:val="21"/>
              </w:rPr>
              <w:t>分；</w:t>
            </w:r>
          </w:p>
          <w:p>
            <w:pPr>
              <w:adjustRightInd w:val="0"/>
              <w:snapToGrid w:val="0"/>
              <w:spacing w:line="360" w:lineRule="auto"/>
              <w:ind w:left="42" w:leftChars="20" w:right="42" w:rightChars="20"/>
              <w:jc w:val="left"/>
              <w:rPr>
                <w:rFonts w:hint="eastAsia" w:ascii="宋体" w:hAnsi="宋体" w:eastAsia="宋体" w:cs="Times New Roman"/>
                <w:szCs w:val="21"/>
              </w:rPr>
            </w:pPr>
            <w:r>
              <w:rPr>
                <w:rFonts w:hint="eastAsia" w:ascii="宋体" w:hAnsi="宋体" w:eastAsia="宋体" w:cs="Times New Roman"/>
                <w:szCs w:val="21"/>
              </w:rPr>
              <w:t>未提供不得分。</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10</w:t>
            </w:r>
          </w:p>
        </w:tc>
        <w:tc>
          <w:tcPr>
            <w:tcW w:w="2348" w:type="dxa"/>
            <w:vAlign w:val="center"/>
          </w:tcPr>
          <w:p>
            <w:pPr>
              <w:snapToGrid w:val="0"/>
              <w:spacing w:line="240" w:lineRule="auto"/>
              <w:jc w:val="center"/>
              <w:rPr>
                <w:rFonts w:hint="eastAsia" w:eastAsiaTheme="minorEastAsia"/>
                <w:szCs w:val="21"/>
                <w:lang w:eastAsia="zh-CN"/>
              </w:rPr>
            </w:pPr>
            <w:r>
              <w:rPr>
                <w:rFonts w:hint="eastAsia"/>
                <w:szCs w:val="21"/>
                <w:lang w:eastAsia="zh-CN"/>
              </w:rPr>
              <w:t>企业荣誉奖项</w:t>
            </w:r>
          </w:p>
        </w:tc>
        <w:tc>
          <w:tcPr>
            <w:tcW w:w="5095" w:type="dxa"/>
            <w:vAlign w:val="center"/>
          </w:tcPr>
          <w:p>
            <w:pPr>
              <w:adjustRightInd w:val="0"/>
              <w:snapToGrid w:val="0"/>
              <w:spacing w:line="360" w:lineRule="auto"/>
              <w:ind w:left="42" w:leftChars="20" w:right="42" w:rightChars="20"/>
              <w:jc w:val="left"/>
              <w:rPr>
                <w:rFonts w:hint="eastAsia" w:ascii="宋体" w:hAnsi="宋体" w:eastAsia="宋体" w:cs="Times New Roman"/>
                <w:szCs w:val="21"/>
                <w:lang w:val="en-US" w:eastAsia="zh-CN"/>
              </w:rPr>
            </w:pPr>
            <w:r>
              <w:rPr>
                <w:rFonts w:hint="eastAsia" w:ascii="宋体" w:hAnsi="宋体" w:eastAsia="宋体" w:cs="Times New Roman"/>
                <w:szCs w:val="21"/>
              </w:rPr>
              <w:t>每提供1个</w:t>
            </w:r>
            <w:r>
              <w:rPr>
                <w:rFonts w:hint="eastAsia" w:ascii="宋体" w:hAnsi="宋体" w:eastAsia="宋体" w:cs="Times New Roman"/>
                <w:szCs w:val="21"/>
                <w:lang w:val="en-US" w:eastAsia="zh-CN"/>
              </w:rPr>
              <w:t>2021年以来</w:t>
            </w:r>
            <w:r>
              <w:rPr>
                <w:rFonts w:hint="eastAsia" w:ascii="宋体" w:hAnsi="宋体" w:eastAsia="宋体" w:cs="Times New Roman"/>
                <w:szCs w:val="21"/>
              </w:rPr>
              <w:t>省级及以上行业主管部门或行业协会颁发的荣誉，得</w:t>
            </w:r>
            <w:r>
              <w:rPr>
                <w:rFonts w:hint="eastAsia" w:ascii="宋体" w:hAnsi="宋体" w:eastAsia="宋体" w:cs="Times New Roman"/>
                <w:szCs w:val="21"/>
                <w:lang w:val="en-US" w:eastAsia="zh-CN"/>
              </w:rPr>
              <w:t>3</w:t>
            </w:r>
            <w:r>
              <w:rPr>
                <w:rFonts w:hint="eastAsia" w:ascii="宋体" w:hAnsi="宋体" w:eastAsia="宋体" w:cs="Times New Roman"/>
                <w:szCs w:val="21"/>
              </w:rPr>
              <w:t>分，最高得</w:t>
            </w:r>
            <w:r>
              <w:rPr>
                <w:rFonts w:hint="eastAsia" w:ascii="宋体" w:hAnsi="宋体" w:eastAsia="宋体" w:cs="Times New Roman"/>
                <w:szCs w:val="21"/>
                <w:lang w:val="en-US" w:eastAsia="zh-CN"/>
              </w:rPr>
              <w:t>6</w:t>
            </w:r>
            <w:r>
              <w:rPr>
                <w:rFonts w:hint="eastAsia" w:ascii="宋体" w:hAnsi="宋体" w:eastAsia="宋体" w:cs="Times New Roman"/>
                <w:szCs w:val="21"/>
              </w:rPr>
              <w:t>分</w:t>
            </w:r>
            <w:r>
              <w:rPr>
                <w:rFonts w:hint="eastAsia" w:ascii="宋体" w:hAnsi="宋体" w:eastAsia="宋体" w:cs="Times New Roman"/>
                <w:szCs w:val="21"/>
                <w:lang w:val="en-US" w:eastAsia="zh-CN"/>
              </w:rPr>
              <w:t>.</w:t>
            </w:r>
          </w:p>
        </w:tc>
        <w:tc>
          <w:tcPr>
            <w:tcW w:w="1081" w:type="dxa"/>
            <w:vAlign w:val="center"/>
          </w:tcPr>
          <w:p>
            <w:pPr>
              <w:snapToGrid w:val="0"/>
              <w:spacing w:line="240" w:lineRule="auto"/>
              <w:jc w:val="center"/>
              <w:rPr>
                <w:rFonts w:hint="default"/>
                <w:b/>
                <w:szCs w:val="21"/>
                <w:lang w:val="en-US" w:eastAsia="zh-CN"/>
              </w:rPr>
            </w:pPr>
            <w:r>
              <w:rPr>
                <w:rFonts w:hint="eastAsia"/>
                <w:b/>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25" w:type="dxa"/>
            <w:vAlign w:val="center"/>
          </w:tcPr>
          <w:p>
            <w:pPr>
              <w:spacing w:line="240" w:lineRule="auto"/>
              <w:jc w:val="center"/>
              <w:rPr>
                <w:rFonts w:hint="default"/>
                <w:b/>
                <w:szCs w:val="21"/>
                <w:lang w:val="en-US" w:eastAsia="zh-CN"/>
              </w:rPr>
            </w:pPr>
            <w:r>
              <w:rPr>
                <w:rFonts w:hint="eastAsia"/>
                <w:b/>
                <w:szCs w:val="21"/>
                <w:lang w:val="en-US" w:eastAsia="zh-CN"/>
              </w:rPr>
              <w:t>11</w:t>
            </w:r>
          </w:p>
        </w:tc>
        <w:tc>
          <w:tcPr>
            <w:tcW w:w="2348" w:type="dxa"/>
            <w:vAlign w:val="center"/>
          </w:tcPr>
          <w:p>
            <w:pPr>
              <w:snapToGrid w:val="0"/>
              <w:spacing w:line="240" w:lineRule="auto"/>
              <w:jc w:val="center"/>
              <w:rPr>
                <w:rFonts w:hint="eastAsia"/>
                <w:szCs w:val="21"/>
                <w:lang w:eastAsia="zh-CN"/>
              </w:rPr>
            </w:pPr>
            <w:r>
              <w:rPr>
                <w:rFonts w:hint="eastAsia"/>
                <w:szCs w:val="21"/>
                <w:lang w:eastAsia="zh-CN"/>
              </w:rPr>
              <w:t>其他</w:t>
            </w:r>
          </w:p>
        </w:tc>
        <w:tc>
          <w:tcPr>
            <w:tcW w:w="5095" w:type="dxa"/>
            <w:vAlign w:val="center"/>
          </w:tcPr>
          <w:p>
            <w:pPr>
              <w:adjustRightInd w:val="0"/>
              <w:snapToGrid w:val="0"/>
              <w:spacing w:line="360" w:lineRule="auto"/>
              <w:ind w:left="42" w:leftChars="20" w:right="42" w:rightChars="2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1.根据各投标人的得分情况，由高到低依次增补2名入库单位，如入库企业因故被取消比选人可以依次递补或重新招标或暂停入库。                                     2.如通过资格审查家数少于三家或者报名家数少于三家的话，在满足资格条件的前提下，全部纳入代理备选库，不在进行评分。</w:t>
            </w:r>
          </w:p>
        </w:tc>
        <w:tc>
          <w:tcPr>
            <w:tcW w:w="1081" w:type="dxa"/>
            <w:vAlign w:val="center"/>
          </w:tcPr>
          <w:p>
            <w:pPr>
              <w:snapToGrid w:val="0"/>
              <w:spacing w:line="240" w:lineRule="auto"/>
              <w:jc w:val="center"/>
              <w:rPr>
                <w:rFonts w:hint="eastAsia"/>
                <w:b/>
                <w:szCs w:val="21"/>
                <w:lang w:val="en-US" w:eastAsia="zh-CN"/>
              </w:rPr>
            </w:pPr>
          </w:p>
        </w:tc>
      </w:tr>
    </w:tbl>
    <w:p>
      <w:pPr>
        <w:spacing w:line="360" w:lineRule="auto"/>
        <w:rPr>
          <w:rFonts w:hint="eastAsia" w:ascii="宋体" w:hAnsi="宋体" w:eastAsia="宋体" w:cs="Times New Roman"/>
          <w:b/>
          <w:sz w:val="24"/>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p>
    <w:p>
      <w:pPr>
        <w:pStyle w:val="3"/>
        <w:ind w:left="0" w:leftChars="0" w:firstLine="0" w:firstLineChars="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ind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附件3：</w:t>
      </w:r>
    </w:p>
    <w:p>
      <w:pPr>
        <w:pStyle w:val="3"/>
        <w:ind w:firstLine="0" w:firstLineChars="0"/>
        <w:rPr>
          <w:rFonts w:hint="eastAsia" w:ascii="仿宋_GB2312" w:hAnsi="仿宋_GB2312" w:eastAsia="仿宋_GB2312" w:cs="仿宋_GB2312"/>
          <w:sz w:val="30"/>
          <w:szCs w:val="30"/>
          <w:lang w:eastAsia="zh-CN"/>
        </w:rPr>
      </w:pPr>
    </w:p>
    <w:p>
      <w:pPr>
        <w:pStyle w:val="3"/>
        <w:ind w:firstLine="3200" w:firstLineChars="1000"/>
        <w:rPr>
          <w:rFonts w:ascii="仿宋" w:hAnsi="仿宋" w:eastAsia="仿宋"/>
          <w:sz w:val="32"/>
          <w:szCs w:val="32"/>
          <w:lang w:eastAsia="zh-CN"/>
        </w:rPr>
      </w:pPr>
      <w:r>
        <w:rPr>
          <w:rFonts w:hint="eastAsia" w:ascii="仿宋_GB2312" w:hAnsi="仿宋_GB2312" w:eastAsia="仿宋_GB2312" w:cs="仿宋_GB2312"/>
          <w:sz w:val="32"/>
          <w:szCs w:val="32"/>
          <w:lang w:eastAsia="zh-CN"/>
        </w:rPr>
        <w:t>比选承诺书</w:t>
      </w:r>
    </w:p>
    <w:p>
      <w:pPr>
        <w:pStyle w:val="3"/>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本公司认真研究了安徽省农垦集团有限公司招标代理机构备选库增补比选公告，愿意接受比选公告要求参加本次比选活动。</w:t>
      </w:r>
    </w:p>
    <w:p>
      <w:pPr>
        <w:pStyle w:val="3"/>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公司承诺如下：同意按照比选公告要求提交比选材料，若存在错项和漏项问题，一切责任由我公司负责，并承诺所提交的材料真实有效，自评得分实事求是，无任何伪造、虚假成分。如若违反上述承诺，本公司愿意接受公开通报，退出本次比选活动并三年内不得代理安徽农垦系统招标项目。</w:t>
      </w:r>
    </w:p>
    <w:p>
      <w:pPr>
        <w:pStyle w:val="3"/>
        <w:ind w:firstLine="640" w:firstLineChars="200"/>
        <w:rPr>
          <w:rFonts w:ascii="仿宋_GB2312" w:hAnsi="仿宋_GB2312" w:eastAsia="仿宋_GB2312" w:cs="仿宋_GB2312"/>
          <w:sz w:val="32"/>
          <w:szCs w:val="32"/>
          <w:lang w:eastAsia="zh-CN"/>
        </w:rPr>
      </w:pPr>
    </w:p>
    <w:p>
      <w:pPr>
        <w:pStyle w:val="3"/>
        <w:ind w:firstLine="640" w:firstLineChars="200"/>
        <w:rPr>
          <w:rFonts w:ascii="仿宋_GB2312" w:hAnsi="仿宋_GB2312" w:eastAsia="仿宋_GB2312" w:cs="仿宋_GB2312"/>
          <w:sz w:val="32"/>
          <w:szCs w:val="32"/>
          <w:lang w:eastAsia="zh-CN"/>
        </w:rPr>
      </w:pPr>
    </w:p>
    <w:p>
      <w:pPr>
        <w:pStyle w:val="3"/>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承诺单位法定代表人签字（盖章）：         </w:t>
      </w:r>
    </w:p>
    <w:p>
      <w:pPr>
        <w:pStyle w:val="3"/>
        <w:ind w:firstLine="3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p>
    <w:p>
      <w:pPr>
        <w:pStyle w:val="3"/>
        <w:ind w:firstLine="2880" w:firstLineChars="9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期：</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8"/>
        <w:ind w:left="0" w:leftChars="0" w:firstLine="0" w:firstLineChars="0"/>
        <w:rPr>
          <w:rFonts w:ascii="仿宋_GB2312" w:hAnsi="仿宋_GB2312" w:eastAsia="仿宋_GB2312" w:cs="仿宋_GB2312"/>
          <w:sz w:val="32"/>
          <w:szCs w:val="32"/>
        </w:rPr>
      </w:pPr>
    </w:p>
    <w:p>
      <w:pPr>
        <w:pStyle w:val="3"/>
        <w:ind w:firstLine="320"/>
        <w:rPr>
          <w:rFonts w:ascii="仿宋_GB2312" w:hAnsi="仿宋_GB2312" w:eastAsia="仿宋_GB2312" w:cs="仿宋_GB2312"/>
          <w:sz w:val="32"/>
          <w:szCs w:val="32"/>
          <w:lang w:eastAsia="zh-CN"/>
        </w:rPr>
      </w:pPr>
    </w:p>
    <w:p>
      <w:pPr>
        <w:pStyle w:val="3"/>
        <w:ind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p>
    <w:p>
      <w:pPr>
        <w:pStyle w:val="3"/>
        <w:ind w:firstLine="0" w:firstLineChars="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附件4：</w:t>
      </w:r>
    </w:p>
    <w:p>
      <w:pPr>
        <w:pStyle w:val="3"/>
        <w:ind w:firstLine="0" w:firstLineChars="0"/>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44"/>
          <w:szCs w:val="44"/>
          <w:lang w:eastAsia="zh-CN"/>
        </w:rPr>
        <w:t>报价表</w:t>
      </w:r>
    </w:p>
    <w:p>
      <w:pPr>
        <w:pStyle w:val="3"/>
        <w:ind w:firstLine="0" w:firstLineChars="0"/>
        <w:jc w:val="center"/>
        <w:rPr>
          <w:rFonts w:hint="eastAsia" w:ascii="仿宋_GB2312" w:hAnsi="仿宋_GB2312" w:eastAsia="仿宋_GB2312" w:cs="仿宋_GB2312"/>
          <w:sz w:val="32"/>
          <w:szCs w:val="32"/>
          <w:lang w:eastAsia="zh-CN"/>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2956" w:type="dxa"/>
            <w:vAlign w:val="center"/>
          </w:tcPr>
          <w:p>
            <w:pPr>
              <w:pStyle w:val="3"/>
              <w:ind w:firstLine="32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报价项目</w:t>
            </w:r>
          </w:p>
        </w:tc>
        <w:tc>
          <w:tcPr>
            <w:tcW w:w="5566" w:type="dxa"/>
          </w:tcPr>
          <w:p>
            <w:pPr>
              <w:pStyle w:val="3"/>
              <w:ind w:firstLine="0" w:firstLineChars="0"/>
              <w:rPr>
                <w:rFonts w:ascii="仿宋_GB2312" w:hAnsi="仿宋_GB2312" w:eastAsia="仿宋_GB2312" w:cs="仿宋_GB2312"/>
                <w:sz w:val="30"/>
                <w:szCs w:val="30"/>
                <w:lang w:eastAsia="zh-CN"/>
              </w:rPr>
            </w:pPr>
            <w:r>
              <w:rPr>
                <w:rFonts w:hint="eastAsia" w:ascii="仿宋_GB2312" w:hAnsi="仿宋_GB2312" w:eastAsia="仿宋_GB2312" w:cs="仿宋_GB2312"/>
                <w:sz w:val="32"/>
                <w:szCs w:val="32"/>
                <w:lang w:eastAsia="zh-CN"/>
              </w:rPr>
              <w:t>安徽省农垦集团有限公司招标代理机构备选库增补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trPr>
        <w:tc>
          <w:tcPr>
            <w:tcW w:w="2956" w:type="dxa"/>
            <w:vAlign w:val="center"/>
          </w:tcPr>
          <w:p>
            <w:pPr>
              <w:pStyle w:val="3"/>
              <w:ind w:firstLine="32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报价单位（加盖单位公章）</w:t>
            </w:r>
          </w:p>
        </w:tc>
        <w:tc>
          <w:tcPr>
            <w:tcW w:w="5566" w:type="dxa"/>
          </w:tcPr>
          <w:p>
            <w:pPr>
              <w:pStyle w:val="3"/>
              <w:ind w:firstLine="300"/>
              <w:rPr>
                <w:rFonts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trPr>
        <w:tc>
          <w:tcPr>
            <w:tcW w:w="2956" w:type="dxa"/>
            <w:vAlign w:val="center"/>
          </w:tcPr>
          <w:p>
            <w:pPr>
              <w:pStyle w:val="3"/>
              <w:ind w:firstLine="32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w:t>
            </w:r>
          </w:p>
        </w:tc>
        <w:tc>
          <w:tcPr>
            <w:tcW w:w="5566" w:type="dxa"/>
          </w:tcPr>
          <w:p>
            <w:pPr>
              <w:pStyle w:val="3"/>
              <w:ind w:firstLine="0" w:firstLineChars="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最高报价按照《招标代理服务收费管理暂行办法》（计价格〔2002〕1980 号）规定标准下浮</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其中代理服务费用未达到 7000 元的，可按 7000 元保底价收取。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956" w:type="dxa"/>
            <w:vAlign w:val="center"/>
          </w:tcPr>
          <w:p>
            <w:pPr>
              <w:pStyle w:val="3"/>
              <w:ind w:firstLine="32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5566" w:type="dxa"/>
          </w:tcPr>
          <w:p>
            <w:pPr>
              <w:pStyle w:val="3"/>
              <w:ind w:firstLine="300"/>
              <w:rPr>
                <w:rFonts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2956" w:type="dxa"/>
            <w:vAlign w:val="center"/>
          </w:tcPr>
          <w:p>
            <w:pPr>
              <w:pStyle w:val="3"/>
              <w:ind w:firstLine="32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tc>
        <w:tc>
          <w:tcPr>
            <w:tcW w:w="5566" w:type="dxa"/>
          </w:tcPr>
          <w:p>
            <w:pPr>
              <w:pStyle w:val="3"/>
              <w:ind w:firstLine="300"/>
              <w:rPr>
                <w:rFonts w:ascii="仿宋_GB2312" w:hAnsi="仿宋_GB2312" w:eastAsia="仿宋_GB2312" w:cs="仿宋_GB2312"/>
                <w:sz w:val="30"/>
                <w:szCs w:val="30"/>
                <w:lang w:eastAsia="zh-CN"/>
              </w:rPr>
            </w:pPr>
          </w:p>
        </w:tc>
      </w:tr>
    </w:tbl>
    <w:p>
      <w:pPr>
        <w:pStyle w:val="3"/>
        <w:ind w:firstLine="0" w:firstLineChars="0"/>
        <w:rPr>
          <w:rFonts w:ascii="仿宋_GB2312" w:hAnsi="仿宋_GB2312" w:eastAsia="仿宋_GB2312" w:cs="仿宋_GB2312"/>
          <w:sz w:val="30"/>
          <w:szCs w:val="30"/>
          <w:lang w:eastAsia="zh-CN"/>
        </w:rPr>
      </w:pPr>
    </w:p>
    <w:p>
      <w:pPr>
        <w:pStyle w:val="3"/>
        <w:ind w:firstLine="32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C68A"/>
    <w:multiLevelType w:val="singleLevel"/>
    <w:tmpl w:val="4F0BC6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26FB2"/>
    <w:rsid w:val="00B32434"/>
    <w:rsid w:val="00E42C03"/>
    <w:rsid w:val="010334B8"/>
    <w:rsid w:val="0153453C"/>
    <w:rsid w:val="0161512A"/>
    <w:rsid w:val="016A4161"/>
    <w:rsid w:val="017424F2"/>
    <w:rsid w:val="01D91151"/>
    <w:rsid w:val="02A35163"/>
    <w:rsid w:val="04AC0BD2"/>
    <w:rsid w:val="063A14C7"/>
    <w:rsid w:val="068B7FCC"/>
    <w:rsid w:val="070B051A"/>
    <w:rsid w:val="08AC7C46"/>
    <w:rsid w:val="08B872DC"/>
    <w:rsid w:val="09095DE2"/>
    <w:rsid w:val="09B052F6"/>
    <w:rsid w:val="0A0B6909"/>
    <w:rsid w:val="0A5A2FC2"/>
    <w:rsid w:val="0B072024"/>
    <w:rsid w:val="0B434407"/>
    <w:rsid w:val="0BE1520A"/>
    <w:rsid w:val="0C13125D"/>
    <w:rsid w:val="0C9B7EBC"/>
    <w:rsid w:val="0E3E731D"/>
    <w:rsid w:val="0FE028C1"/>
    <w:rsid w:val="10701B06"/>
    <w:rsid w:val="112A47B8"/>
    <w:rsid w:val="115B080A"/>
    <w:rsid w:val="1194774F"/>
    <w:rsid w:val="12CD5171"/>
    <w:rsid w:val="135E3453"/>
    <w:rsid w:val="137C7684"/>
    <w:rsid w:val="13B341E1"/>
    <w:rsid w:val="1410457B"/>
    <w:rsid w:val="145A7E72"/>
    <w:rsid w:val="14B3394A"/>
    <w:rsid w:val="15C33BC1"/>
    <w:rsid w:val="185F480A"/>
    <w:rsid w:val="18926C1F"/>
    <w:rsid w:val="18DE63DD"/>
    <w:rsid w:val="19196ED0"/>
    <w:rsid w:val="19AF5431"/>
    <w:rsid w:val="1A7D4672"/>
    <w:rsid w:val="1B306A60"/>
    <w:rsid w:val="1B682203"/>
    <w:rsid w:val="1C07688A"/>
    <w:rsid w:val="1C5B6314"/>
    <w:rsid w:val="1CE374F2"/>
    <w:rsid w:val="1D3614FA"/>
    <w:rsid w:val="1FC77936"/>
    <w:rsid w:val="1FD9754F"/>
    <w:rsid w:val="2000198D"/>
    <w:rsid w:val="207E61A3"/>
    <w:rsid w:val="20A5599E"/>
    <w:rsid w:val="20DD5AF8"/>
    <w:rsid w:val="2131142E"/>
    <w:rsid w:val="21FE1453"/>
    <w:rsid w:val="22FF140D"/>
    <w:rsid w:val="23AA6F10"/>
    <w:rsid w:val="24554E2A"/>
    <w:rsid w:val="255A0E55"/>
    <w:rsid w:val="26606184"/>
    <w:rsid w:val="280520B8"/>
    <w:rsid w:val="280C3C41"/>
    <w:rsid w:val="29521D5A"/>
    <w:rsid w:val="29847FAB"/>
    <w:rsid w:val="29D06DA5"/>
    <w:rsid w:val="2B797161"/>
    <w:rsid w:val="2E8D2EEB"/>
    <w:rsid w:val="2ECC3CD5"/>
    <w:rsid w:val="2ED36EE3"/>
    <w:rsid w:val="2FBB5B5C"/>
    <w:rsid w:val="3001084F"/>
    <w:rsid w:val="30BD6A03"/>
    <w:rsid w:val="321772A1"/>
    <w:rsid w:val="327F1EE7"/>
    <w:rsid w:val="3525563E"/>
    <w:rsid w:val="35DD4DEC"/>
    <w:rsid w:val="3640380C"/>
    <w:rsid w:val="367A016E"/>
    <w:rsid w:val="372D5A13"/>
    <w:rsid w:val="37541156"/>
    <w:rsid w:val="37AD5068"/>
    <w:rsid w:val="37EB70CB"/>
    <w:rsid w:val="38C735B6"/>
    <w:rsid w:val="3A394391"/>
    <w:rsid w:val="3B4413CB"/>
    <w:rsid w:val="3B5B0FF1"/>
    <w:rsid w:val="3C0F1D99"/>
    <w:rsid w:val="3CEE1054"/>
    <w:rsid w:val="3DF876BB"/>
    <w:rsid w:val="3E1A30F3"/>
    <w:rsid w:val="3E2171FA"/>
    <w:rsid w:val="3FBD5D22"/>
    <w:rsid w:val="3FF15CD7"/>
    <w:rsid w:val="4019132B"/>
    <w:rsid w:val="414B09AC"/>
    <w:rsid w:val="432A1241"/>
    <w:rsid w:val="43A37C06"/>
    <w:rsid w:val="43BC4F2D"/>
    <w:rsid w:val="43E560F1"/>
    <w:rsid w:val="44711559"/>
    <w:rsid w:val="44865C7B"/>
    <w:rsid w:val="45673E1E"/>
    <w:rsid w:val="45F261D2"/>
    <w:rsid w:val="467A106E"/>
    <w:rsid w:val="46AD3081"/>
    <w:rsid w:val="46B46290"/>
    <w:rsid w:val="47B86A37"/>
    <w:rsid w:val="47DD11F5"/>
    <w:rsid w:val="493D4634"/>
    <w:rsid w:val="49A14359"/>
    <w:rsid w:val="49B52FF9"/>
    <w:rsid w:val="49D94504"/>
    <w:rsid w:val="49E15142"/>
    <w:rsid w:val="4A0F0210"/>
    <w:rsid w:val="4A1E2A29"/>
    <w:rsid w:val="4A6E3AAD"/>
    <w:rsid w:val="4A742133"/>
    <w:rsid w:val="4AEA55F5"/>
    <w:rsid w:val="4B0F7DB3"/>
    <w:rsid w:val="4B162FC1"/>
    <w:rsid w:val="4B3A032A"/>
    <w:rsid w:val="4B8A2CA1"/>
    <w:rsid w:val="4CE52C5F"/>
    <w:rsid w:val="4DF07E6B"/>
    <w:rsid w:val="4E0926E4"/>
    <w:rsid w:val="4EB95335"/>
    <w:rsid w:val="4F1C53DA"/>
    <w:rsid w:val="4F1F055D"/>
    <w:rsid w:val="4F80123E"/>
    <w:rsid w:val="51C90B63"/>
    <w:rsid w:val="520B3099"/>
    <w:rsid w:val="52DB30A3"/>
    <w:rsid w:val="53214146"/>
    <w:rsid w:val="53714FF4"/>
    <w:rsid w:val="53BD3DEE"/>
    <w:rsid w:val="53DB4A23"/>
    <w:rsid w:val="53E60836"/>
    <w:rsid w:val="545D5EF6"/>
    <w:rsid w:val="54785725"/>
    <w:rsid w:val="55426FB2"/>
    <w:rsid w:val="56CA1873"/>
    <w:rsid w:val="57FC14BD"/>
    <w:rsid w:val="58967865"/>
    <w:rsid w:val="593773EE"/>
    <w:rsid w:val="5A685562"/>
    <w:rsid w:val="5A910924"/>
    <w:rsid w:val="5B443C4B"/>
    <w:rsid w:val="5C953411"/>
    <w:rsid w:val="5DA73435"/>
    <w:rsid w:val="5E007347"/>
    <w:rsid w:val="5E4951BD"/>
    <w:rsid w:val="5E571F54"/>
    <w:rsid w:val="5E872AA3"/>
    <w:rsid w:val="5E9C71C5"/>
    <w:rsid w:val="5EBC4701"/>
    <w:rsid w:val="5EE4436B"/>
    <w:rsid w:val="5F6A0B17"/>
    <w:rsid w:val="614E7A33"/>
    <w:rsid w:val="61A429C0"/>
    <w:rsid w:val="61D84114"/>
    <w:rsid w:val="62FA54F0"/>
    <w:rsid w:val="639D4CF9"/>
    <w:rsid w:val="64CE08EF"/>
    <w:rsid w:val="651200DE"/>
    <w:rsid w:val="652C0C88"/>
    <w:rsid w:val="65803F95"/>
    <w:rsid w:val="67523E91"/>
    <w:rsid w:val="67EB660D"/>
    <w:rsid w:val="682F7FFB"/>
    <w:rsid w:val="6890131A"/>
    <w:rsid w:val="6B092CA7"/>
    <w:rsid w:val="6B6A52CA"/>
    <w:rsid w:val="6DB42E1F"/>
    <w:rsid w:val="6E154EA9"/>
    <w:rsid w:val="6F5632B7"/>
    <w:rsid w:val="6F6C0CDE"/>
    <w:rsid w:val="70326549"/>
    <w:rsid w:val="709177BB"/>
    <w:rsid w:val="70B51F79"/>
    <w:rsid w:val="70BB05FF"/>
    <w:rsid w:val="70E350E2"/>
    <w:rsid w:val="70F10AD9"/>
    <w:rsid w:val="710651FB"/>
    <w:rsid w:val="71804EC5"/>
    <w:rsid w:val="71A21DE6"/>
    <w:rsid w:val="721169B3"/>
    <w:rsid w:val="749B3E5E"/>
    <w:rsid w:val="753D4A66"/>
    <w:rsid w:val="76124944"/>
    <w:rsid w:val="762F7018"/>
    <w:rsid w:val="76470309"/>
    <w:rsid w:val="764C3824"/>
    <w:rsid w:val="76933762"/>
    <w:rsid w:val="77501DCD"/>
    <w:rsid w:val="785712FB"/>
    <w:rsid w:val="78EC5072"/>
    <w:rsid w:val="79466A05"/>
    <w:rsid w:val="7A2F4854"/>
    <w:rsid w:val="7A461E2B"/>
    <w:rsid w:val="7A854180"/>
    <w:rsid w:val="7AF976D0"/>
    <w:rsid w:val="7B7C4426"/>
    <w:rsid w:val="7D471895"/>
    <w:rsid w:val="7D5052A6"/>
    <w:rsid w:val="7D5207A9"/>
    <w:rsid w:val="7DB24046"/>
    <w:rsid w:val="7E377B22"/>
    <w:rsid w:val="7ECF4B65"/>
    <w:rsid w:val="7FC73BA2"/>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rPr>
      <w:rFonts w:ascii="宋体" w:hAnsi="宋体" w:cs="宋体"/>
      <w:szCs w:val="21"/>
      <w:lang w:eastAsia="en-US" w:bidi="en-US"/>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qFormat/>
    <w:uiPriority w:val="0"/>
    <w:pPr>
      <w:ind w:firstLine="420" w:firstLineChars="200"/>
    </w:pPr>
    <w:rPr>
      <w:rFonts w:ascii="Times New Roman" w:hAnsi="Times New Roman" w:eastAsia="宋体" w:cs="Times New Roman"/>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2024-11-06T01:07:00Z</dcterms:created>
  <dc:creator>张伟</dc:creator>
  <cp:lastModifiedBy>罗德润</cp:lastModifiedBy>
  <dcterms:modified xsi:type="dcterms:W3CDTF">2024-11-10T02:18:55Z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8D91009F962643B8845FADAC7E91FBB7</vt:lpwstr>
  </property>
</Properties>
</file>